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C176EE" w:rsidRPr="005E0C1A" w:rsidRDefault="00C176EE" w:rsidP="00C176EE">
      <w:pPr>
        <w:jc w:val="both"/>
      </w:pPr>
      <w:proofErr w:type="gramStart"/>
      <w:r w:rsidRPr="005E0C1A">
        <w:t xml:space="preserve">Tarım ve Orman Bakanlığı tarafından belirlenen amaç, ilke ve talimatlara uygun olarak; gübre üretim tesislerinde, gübre ithalat depolarında ve gübre bayilerinde numune almak ve denetim yapmak suretiyle çiftçilerin standardına uygun gübre kullanmasını sağlamak, bitki besleme ve  gübrelemede yeni gelişme ve teknikleri, gübre-verim-kalite ve çevre ilişkileri, geleneksel uygulamaların iyileştirilmesi, çevre duyarlılığının arttırılması, artan verim ve kaliteye ulaşılması hedefleri çerçevesinde eğitim ve yayım çalışmaları yapmak. </w:t>
      </w:r>
      <w:proofErr w:type="gramEnd"/>
      <w:r w:rsidRPr="005E0C1A">
        <w:t xml:space="preserve">Toprak Bitki analiz </w:t>
      </w:r>
      <w:proofErr w:type="spellStart"/>
      <w:r w:rsidRPr="005E0C1A">
        <w:t>laboratuarlarının</w:t>
      </w:r>
      <w:proofErr w:type="spellEnd"/>
      <w:r w:rsidRPr="005E0C1A">
        <w:t xml:space="preserve"> yetkilendirme ve denetimlerini yapmak. İl Müdürlüğünün tarım alet ve makine </w:t>
      </w:r>
      <w:proofErr w:type="gramStart"/>
      <w:r w:rsidRPr="005E0C1A">
        <w:t>envanter</w:t>
      </w:r>
      <w:proofErr w:type="gramEnd"/>
      <w:r w:rsidRPr="005E0C1A">
        <w:t xml:space="preserve"> kayıtlarını tutmak.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bookmarkStart w:id="0" w:name="_GoBack"/>
      <w:bookmarkEnd w:id="0"/>
      <w:r w:rsidRPr="005E0C1A">
        <w:rPr>
          <w:rFonts w:eastAsia="TimesNewRoman"/>
        </w:rPr>
        <w:t xml:space="preserve">İlde ilk defa faaliyete geçen gübre fabrikaları ile gübre üretim yerlerinin mevzuata uygunluğunu denetlemek ve hazırlanacak uygunluk raporunu </w:t>
      </w:r>
      <w:r>
        <w:rPr>
          <w:rFonts w:eastAsia="TimesNewRoman"/>
        </w:rPr>
        <w:t>düzenlemek</w:t>
      </w:r>
      <w:r w:rsidRPr="005E0C1A">
        <w:rPr>
          <w:rFonts w:eastAsia="TimesNewRoman"/>
        </w:rPr>
        <w:t>,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rFonts w:eastAsia="TimesNewRoman"/>
        </w:rPr>
        <w:t>İl’de yetkilendirilmiş her türlü gübre üreticisi, ithalatçısı ve bayilerinin işyeri ve depoları ile buralarda piyasaya arz edilmiş ürünlerin mevzuatla belirlenmiş esaslara göre uygunluğunu denetlemek,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rFonts w:eastAsia="TimesNewRoman"/>
        </w:rPr>
        <w:t>Gübre satışı yapmak isteyen gerçek ve tüzel kişilerin gübre satış yeri ve deposunun Mevzuata uygunluğunu kontrol etmek, uygun bulunan işyerleri için Gübre Dağıtıcılık Belgesi düzenlemek.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rFonts w:eastAsia="TimesNewRoman"/>
        </w:rPr>
        <w:t>Bakanlığın il müdürlüklerine yetki devri yaptığı gübreler için ithalat uygunluk belgelerini düzenlemek,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rFonts w:eastAsia="TimesNewRoman"/>
        </w:rPr>
        <w:t>Gübre üreticileri tarafından tescil ettirilmek istenen gübrelerin tescil işlemine esas olmak üzere, Bakanlık talimatları doğrultusunda numune almak,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proofErr w:type="gramStart"/>
      <w:r w:rsidRPr="005E0C1A">
        <w:rPr>
          <w:rFonts w:eastAsia="TimesNewRoman"/>
        </w:rPr>
        <w:t>Fason gübre üretimi yapmak isteyen kişi ve kuruluşların sözleşmelerini değerlendirmek.</w:t>
      </w:r>
      <w:proofErr w:type="gramEnd"/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bCs/>
        </w:rPr>
        <w:t xml:space="preserve">Nitrat Azotu İçeren Kimyevi Gübrelerin Satışı, Nakli ve Stok Bildirimi ile Kontrol ve Denetime ilişkin çalışmaları ilgili Mevzuat ve </w:t>
      </w:r>
      <w:r w:rsidRPr="005E0C1A">
        <w:t xml:space="preserve">İçişleri Bakanlığı’nın onayı ile ilimizde kurulan El Yapımı Patlayıcılar (EYP) İle Mücadele Komisyonu Kararları doğrultusunda gerekli çalışmaları yürütmek, 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rFonts w:eastAsia="TimesNewRoman"/>
        </w:rPr>
        <w:t>Üreticilerce toprak analiz sonuçlarına dayalı gübre kullanımını sağlamak için eğitim çalışmaları yapmak, uygulama kayıtlarını tutmak,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bCs/>
        </w:rPr>
        <w:t>Bitki besleme konularında Araştırma Enstitülerince geliştirilen yeniliklerin yaygınlaştırılmasına yönelik eğitim ve yayım çalışmaları yürütmek,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bCs/>
        </w:rPr>
        <w:t xml:space="preserve">Görev alanı ile ilgili Bakanlıkça uygulanan tarımsal desteklemeleri, şubedeki </w:t>
      </w:r>
      <w:r w:rsidRPr="005E0C1A">
        <w:t>Tarım Bilgi Sistemi ve Tarımsal Destekleme Hizmetleri Birimiyle iş birliği halinde değerlendirmek ve yayımını yapmak.</w:t>
      </w:r>
    </w:p>
    <w:p w:rsidR="00C176EE" w:rsidRPr="005E0C1A" w:rsidRDefault="00C176EE" w:rsidP="00C176EE">
      <w:pPr>
        <w:numPr>
          <w:ilvl w:val="0"/>
          <w:numId w:val="28"/>
        </w:numPr>
        <w:tabs>
          <w:tab w:val="clear" w:pos="720"/>
        </w:tabs>
        <w:ind w:left="355" w:hanging="283"/>
        <w:jc w:val="both"/>
        <w:rPr>
          <w:rFonts w:eastAsia="TimesNewRoman"/>
        </w:rPr>
      </w:pPr>
      <w:r w:rsidRPr="005E0C1A">
        <w:rPr>
          <w:bCs/>
        </w:rPr>
        <w:t xml:space="preserve">Görev alanı ile ilgili tarımsal bilgileri ve yeni teknolojileri çiftçilere ulaştırmak, bitki besleme ve teknoloji kullanımı konusunda </w:t>
      </w:r>
      <w:r w:rsidRPr="005E0C1A">
        <w:rPr>
          <w:rFonts w:eastAsia="TimesNewRoman"/>
        </w:rPr>
        <w:t>eğitim ve yayım programı hazırlamak ve uygulamak, yeni ve faydalı bilgilerin; afiş, broşür,  vb. yollarla desteklenmesini sağlamak,</w:t>
      </w:r>
    </w:p>
    <w:p w:rsidR="00247C0D" w:rsidRDefault="00247C0D" w:rsidP="00C176EE">
      <w:pPr>
        <w:tabs>
          <w:tab w:val="left" w:pos="0"/>
        </w:tabs>
        <w:spacing w:before="120" w:after="120"/>
        <w:jc w:val="both"/>
        <w:rPr>
          <w:b/>
          <w:bCs/>
          <w:iCs/>
        </w:rPr>
      </w:pPr>
    </w:p>
    <w:p w:rsidR="00A22423" w:rsidRDefault="003A7018" w:rsidP="00C176EE">
      <w:pPr>
        <w:spacing w:before="120" w:after="120"/>
        <w:ind w:left="720"/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lastRenderedPageBreak/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C176EE" w:rsidRPr="005E0C1A" w:rsidRDefault="00C176EE" w:rsidP="00C176EE">
      <w:pPr>
        <w:numPr>
          <w:ilvl w:val="0"/>
          <w:numId w:val="29"/>
        </w:numPr>
        <w:ind w:left="360"/>
        <w:jc w:val="both"/>
      </w:pPr>
      <w:r w:rsidRPr="005E0C1A">
        <w:t>Yukarıda belirtilen görev ve sorumlulukları gerçekleştirme yetkisine sahip olmak.</w:t>
      </w:r>
    </w:p>
    <w:p w:rsidR="00A22423" w:rsidRDefault="00C176EE" w:rsidP="00C176EE">
      <w:pPr>
        <w:numPr>
          <w:ilvl w:val="0"/>
          <w:numId w:val="29"/>
        </w:numPr>
        <w:ind w:left="360"/>
        <w:jc w:val="both"/>
      </w:pPr>
      <w:proofErr w:type="gramStart"/>
      <w:r w:rsidRPr="005E0C1A">
        <w:t xml:space="preserve">Faaliyetlerinin gerektirdiği her türlü araç, gereç ve malzemeyi kullanmak. </w:t>
      </w:r>
      <w:proofErr w:type="gramEnd"/>
    </w:p>
    <w:p w:rsidR="00C176EE" w:rsidRPr="00092EE7" w:rsidRDefault="00C176EE" w:rsidP="00C176EE">
      <w:pPr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C176EE" w:rsidRPr="00C176EE" w:rsidRDefault="00C176EE" w:rsidP="00C176EE">
      <w:pPr>
        <w:pStyle w:val="ListeParagraf"/>
        <w:numPr>
          <w:ilvl w:val="0"/>
          <w:numId w:val="20"/>
        </w:numPr>
        <w:jc w:val="both"/>
        <w:rPr>
          <w:bCs/>
          <w:iCs/>
        </w:rPr>
      </w:pPr>
      <w:r w:rsidRPr="00C176EE">
        <w:rPr>
          <w:bCs/>
          <w:iCs/>
        </w:rPr>
        <w:t>Bitkisel Üretim ve Bitki Sağlığı Şube Müdürü</w:t>
      </w:r>
    </w:p>
    <w:p w:rsidR="00A22423" w:rsidRPr="00092EE7" w:rsidRDefault="00A22423" w:rsidP="00C176EE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C176EE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C176EE" w:rsidRPr="005E0C1A" w:rsidRDefault="00C176EE" w:rsidP="00C176EE">
      <w:pPr>
        <w:numPr>
          <w:ilvl w:val="0"/>
          <w:numId w:val="32"/>
        </w:numPr>
        <w:tabs>
          <w:tab w:val="left" w:pos="360"/>
          <w:tab w:val="num" w:pos="1440"/>
        </w:tabs>
        <w:ind w:left="360"/>
        <w:jc w:val="both"/>
      </w:pPr>
      <w:r w:rsidRPr="005E0C1A">
        <w:lastRenderedPageBreak/>
        <w:t>657 sayılı Devlet Memurları Kanunu’nda belirtilen genel niteliklere sahip olmak</w:t>
      </w:r>
    </w:p>
    <w:p w:rsidR="00C176EE" w:rsidRPr="005E0C1A" w:rsidRDefault="00C176EE" w:rsidP="00C176EE">
      <w:pPr>
        <w:numPr>
          <w:ilvl w:val="0"/>
          <w:numId w:val="31"/>
        </w:numPr>
        <w:tabs>
          <w:tab w:val="left" w:pos="360"/>
          <w:tab w:val="num" w:pos="1440"/>
        </w:tabs>
        <w:ind w:left="360"/>
        <w:jc w:val="both"/>
      </w:pPr>
      <w:r w:rsidRPr="005E0C1A">
        <w:t>Ziraat Mühendisi, Zira</w:t>
      </w:r>
      <w:r>
        <w:t>at Teknikeri, Ziraat Teknisyeni olmak</w:t>
      </w:r>
    </w:p>
    <w:p w:rsidR="00C176EE" w:rsidRPr="005E0C1A" w:rsidRDefault="00C176EE" w:rsidP="00C176EE">
      <w:pPr>
        <w:numPr>
          <w:ilvl w:val="0"/>
          <w:numId w:val="31"/>
        </w:numPr>
        <w:tabs>
          <w:tab w:val="left" w:pos="360"/>
          <w:tab w:val="num" w:pos="1440"/>
        </w:tabs>
        <w:ind w:left="360"/>
        <w:jc w:val="both"/>
      </w:pPr>
      <w:r w:rsidRPr="005E0C1A">
        <w:t xml:space="preserve">Birimin görev konuları ile ilgili eğitimleri almak. </w:t>
      </w:r>
    </w:p>
    <w:p w:rsidR="00C176EE" w:rsidRPr="005E0C1A" w:rsidRDefault="00C176EE" w:rsidP="00C176EE">
      <w:pPr>
        <w:numPr>
          <w:ilvl w:val="1"/>
          <w:numId w:val="30"/>
        </w:numPr>
        <w:tabs>
          <w:tab w:val="clear" w:pos="1980"/>
          <w:tab w:val="left" w:pos="360"/>
        </w:tabs>
        <w:ind w:left="360"/>
        <w:jc w:val="both"/>
        <w:rPr>
          <w:bCs/>
          <w:iCs/>
        </w:rPr>
      </w:pPr>
      <w:r w:rsidRPr="005E0C1A">
        <w:rPr>
          <w:bCs/>
          <w:iCs/>
        </w:rPr>
        <w:t>Faaliyetlerinin gerektirdiği analitik düşünme yeteneğine sahip olmak.</w:t>
      </w:r>
    </w:p>
    <w:p w:rsidR="00A22423" w:rsidRPr="00092EE7" w:rsidRDefault="00A22423" w:rsidP="00C176EE">
      <w:pPr>
        <w:spacing w:before="120" w:after="12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C176EE" w:rsidRPr="005E0C1A" w:rsidRDefault="00C176EE" w:rsidP="00C176EE">
      <w:pPr>
        <w:numPr>
          <w:ilvl w:val="0"/>
          <w:numId w:val="20"/>
        </w:numPr>
        <w:tabs>
          <w:tab w:val="left" w:pos="360"/>
        </w:tabs>
      </w:pPr>
      <w:r w:rsidRPr="005E0C1A">
        <w:t>Normal çalışma saatleri içinde görev yapmak.</w:t>
      </w:r>
    </w:p>
    <w:p w:rsidR="00C176EE" w:rsidRPr="005E0C1A" w:rsidRDefault="00C176EE" w:rsidP="00C176EE">
      <w:pPr>
        <w:numPr>
          <w:ilvl w:val="0"/>
          <w:numId w:val="20"/>
        </w:numPr>
        <w:tabs>
          <w:tab w:val="left" w:pos="360"/>
        </w:tabs>
      </w:pPr>
      <w:r w:rsidRPr="005E0C1A">
        <w:t>Gerektiğinde normal çalışma saatleri dışında da görev yapabilmek.</w:t>
      </w:r>
    </w:p>
    <w:p w:rsidR="00C176EE" w:rsidRPr="005E0C1A" w:rsidRDefault="00C176EE" w:rsidP="00C176EE">
      <w:pPr>
        <w:numPr>
          <w:ilvl w:val="0"/>
          <w:numId w:val="20"/>
        </w:numPr>
        <w:tabs>
          <w:tab w:val="left" w:pos="360"/>
        </w:tabs>
      </w:pPr>
      <w:proofErr w:type="gramStart"/>
      <w:r w:rsidRPr="005E0C1A">
        <w:t>Büro ortamında çalışmak.</w:t>
      </w:r>
      <w:proofErr w:type="gramEnd"/>
    </w:p>
    <w:p w:rsidR="00C176EE" w:rsidRPr="005E0C1A" w:rsidRDefault="00C176EE" w:rsidP="00C176EE">
      <w:pPr>
        <w:numPr>
          <w:ilvl w:val="0"/>
          <w:numId w:val="20"/>
        </w:numPr>
        <w:tabs>
          <w:tab w:val="left" w:pos="360"/>
        </w:tabs>
      </w:pPr>
      <w:proofErr w:type="gramStart"/>
      <w:r w:rsidRPr="005E0C1A">
        <w:t>Görevi gereği seyahat etmek.</w:t>
      </w:r>
      <w:proofErr w:type="gramEnd"/>
    </w:p>
    <w:p w:rsidR="00C176EE" w:rsidRPr="005E0C1A" w:rsidRDefault="00C176EE" w:rsidP="00C176EE">
      <w:pPr>
        <w:numPr>
          <w:ilvl w:val="0"/>
          <w:numId w:val="20"/>
        </w:numPr>
        <w:tabs>
          <w:tab w:val="left" w:pos="360"/>
        </w:tabs>
      </w:pPr>
      <w:r w:rsidRPr="005E0C1A">
        <w:t>Arazide çalışmak</w:t>
      </w:r>
    </w:p>
    <w:p w:rsidR="00A22423" w:rsidRDefault="00A22423" w:rsidP="00C176EE">
      <w:pPr>
        <w:spacing w:before="120" w:after="120"/>
        <w:ind w:left="360"/>
        <w:jc w:val="both"/>
      </w:pPr>
    </w:p>
    <w:p w:rsidR="00A22423" w:rsidRPr="00092EE7" w:rsidRDefault="00A22423" w:rsidP="00C176EE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85" w:rsidRDefault="00036685" w:rsidP="006C7BAC">
      <w:r>
        <w:separator/>
      </w:r>
    </w:p>
  </w:endnote>
  <w:endnote w:type="continuationSeparator" w:id="0">
    <w:p w:rsidR="00036685" w:rsidRDefault="0003668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E" w:rsidRDefault="00C176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257382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257382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E" w:rsidRDefault="00C176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85" w:rsidRDefault="00036685" w:rsidP="006C7BAC">
      <w:r>
        <w:separator/>
      </w:r>
    </w:p>
  </w:footnote>
  <w:footnote w:type="continuationSeparator" w:id="0">
    <w:p w:rsidR="00036685" w:rsidRDefault="0003668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E" w:rsidRDefault="00C176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C176EE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C176EE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 BESLEME HİZMETLERİ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C176EE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C176EE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E" w:rsidRDefault="00C176E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cs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80025B"/>
    <w:multiLevelType w:val="hybridMultilevel"/>
    <w:tmpl w:val="83FAA450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18"/>
  </w:num>
  <w:num w:numId="6">
    <w:abstractNumId w:val="15"/>
  </w:num>
  <w:num w:numId="7">
    <w:abstractNumId w:val="10"/>
  </w:num>
  <w:num w:numId="8">
    <w:abstractNumId w:val="25"/>
  </w:num>
  <w:num w:numId="9">
    <w:abstractNumId w:val="12"/>
  </w:num>
  <w:num w:numId="10">
    <w:abstractNumId w:val="9"/>
  </w:num>
  <w:num w:numId="11">
    <w:abstractNumId w:val="13"/>
  </w:num>
  <w:num w:numId="12">
    <w:abstractNumId w:val="17"/>
  </w:num>
  <w:num w:numId="13">
    <w:abstractNumId w:val="4"/>
  </w:num>
  <w:num w:numId="14">
    <w:abstractNumId w:val="29"/>
  </w:num>
  <w:num w:numId="15">
    <w:abstractNumId w:val="23"/>
  </w:num>
  <w:num w:numId="16">
    <w:abstractNumId w:val="21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8"/>
  </w:num>
  <w:num w:numId="22">
    <w:abstractNumId w:val="2"/>
  </w:num>
  <w:num w:numId="23">
    <w:abstractNumId w:val="3"/>
  </w:num>
  <w:num w:numId="24">
    <w:abstractNumId w:val="24"/>
  </w:num>
  <w:num w:numId="25">
    <w:abstractNumId w:val="19"/>
  </w:num>
  <w:num w:numId="26">
    <w:abstractNumId w:val="14"/>
  </w:num>
  <w:num w:numId="27">
    <w:abstractNumId w:val="16"/>
  </w:num>
  <w:num w:numId="28">
    <w:abstractNumId w:val="20"/>
  </w:num>
  <w:num w:numId="29">
    <w:abstractNumId w:val="5"/>
  </w:num>
  <w:num w:numId="30">
    <w:abstractNumId w:val="11"/>
  </w:num>
  <w:num w:numId="31">
    <w:abstractNumId w:val="27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36685"/>
    <w:rsid w:val="000667F5"/>
    <w:rsid w:val="00092EE7"/>
    <w:rsid w:val="000B3DC2"/>
    <w:rsid w:val="000B5A16"/>
    <w:rsid w:val="000C000E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57382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23A57"/>
    <w:rsid w:val="00931024"/>
    <w:rsid w:val="009335E6"/>
    <w:rsid w:val="00935D51"/>
    <w:rsid w:val="00941BF9"/>
    <w:rsid w:val="00964367"/>
    <w:rsid w:val="00967805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176EE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923A57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923A5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BFF8B-AFAE-4693-8F89-FB41B29481B6}"/>
</file>

<file path=customXml/itemProps2.xml><?xml version="1.0" encoding="utf-8"?>
<ds:datastoreItem xmlns:ds="http://schemas.openxmlformats.org/officeDocument/2006/customXml" ds:itemID="{93F871CA-8789-4FBF-B5D7-68B029EF8841}"/>
</file>

<file path=customXml/itemProps3.xml><?xml version="1.0" encoding="utf-8"?>
<ds:datastoreItem xmlns:ds="http://schemas.openxmlformats.org/officeDocument/2006/customXml" ds:itemID="{D49EDD17-D058-4DEE-95A2-18B4782E2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2024-01-04T12:36:00Z</dcterms:created>
  <dcterms:modified xsi:type="dcterms:W3CDTF">2025-05-30T06:43:00Z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